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黑体" w:hAnsi="黑体" w:eastAsia="黑体" w:cs="黑体"/>
          <w:b w:val="0"/>
          <w:bCs w:val="0"/>
          <w:sz w:val="32"/>
          <w:szCs w:val="32"/>
        </w:rPr>
      </w:pPr>
      <w:r>
        <w:rPr>
          <w:rFonts w:ascii="黑体" w:hAnsi="黑体" w:eastAsia="黑体" w:cs="黑体"/>
          <w:b w:val="0"/>
          <w:bCs w:val="0"/>
          <w:spacing w:val="-13"/>
          <w:sz w:val="32"/>
          <w:szCs w:val="32"/>
        </w:rPr>
        <w:t>附件3</w:t>
      </w:r>
    </w:p>
    <w:p>
      <w:pPr>
        <w:spacing w:before="237" w:line="218" w:lineRule="auto"/>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pacing w:val="7"/>
          <w:sz w:val="44"/>
          <w:szCs w:val="44"/>
        </w:rPr>
        <w:t>中华老字号示范创建评价指标</w:t>
      </w:r>
      <w:bookmarkEnd w:id="0"/>
    </w:p>
    <w:p>
      <w:pPr>
        <w:spacing w:line="105" w:lineRule="exact"/>
      </w:pPr>
    </w:p>
    <w:tbl>
      <w:tblPr>
        <w:tblStyle w:val="8"/>
        <w:tblW w:w="14538"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7"/>
        <w:gridCol w:w="1754"/>
        <w:gridCol w:w="5177"/>
        <w:gridCol w:w="6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1453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5"/>
                <w:szCs w:val="25"/>
                <w:lang w:eastAsia="zh-CN"/>
              </w:rPr>
            </w:pPr>
            <w:r>
              <w:rPr>
                <w:rFonts w:ascii="宋体" w:hAnsi="宋体" w:eastAsia="宋体" w:cs="宋体"/>
                <w:b/>
                <w:bCs/>
                <w:spacing w:val="-4"/>
                <w:sz w:val="25"/>
                <w:szCs w:val="25"/>
              </w:rPr>
              <w:t>一、历史文化深厚</w:t>
            </w:r>
            <w:r>
              <w:rPr>
                <w:rFonts w:hint="eastAsia" w:ascii="宋体" w:hAnsi="宋体" w:eastAsia="宋体" w:cs="宋体"/>
                <w:b/>
                <w:bCs/>
                <w:spacing w:val="-4"/>
                <w:sz w:val="25"/>
                <w:szCs w:val="25"/>
                <w:lang w:eastAsia="zh-CN"/>
              </w:rPr>
              <w:t>（</w:t>
            </w:r>
            <w:r>
              <w:rPr>
                <w:rFonts w:ascii="宋体" w:hAnsi="宋体" w:eastAsia="宋体" w:cs="宋体"/>
                <w:b/>
                <w:bCs/>
                <w:spacing w:val="-4"/>
                <w:sz w:val="25"/>
                <w:szCs w:val="25"/>
              </w:rPr>
              <w:t>38分</w:t>
            </w:r>
            <w:r>
              <w:rPr>
                <w:rFonts w:hint="eastAsia" w:ascii="宋体" w:hAnsi="宋体" w:eastAsia="宋体" w:cs="宋体"/>
                <w:b/>
                <w:bCs/>
                <w:spacing w:val="-4"/>
                <w:sz w:val="25"/>
                <w:szCs w:val="25"/>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trPr>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黑体" w:hAnsi="黑体" w:eastAsia="黑体" w:cs="黑体"/>
                <w:b w:val="0"/>
                <w:bCs w:val="0"/>
                <w:sz w:val="21"/>
                <w:szCs w:val="21"/>
              </w:rPr>
            </w:pPr>
            <w:r>
              <w:rPr>
                <w:rFonts w:hint="eastAsia" w:ascii="黑体" w:hAnsi="黑体" w:eastAsia="黑体" w:cs="黑体"/>
                <w:b w:val="0"/>
                <w:bCs w:val="0"/>
                <w:spacing w:val="-2"/>
                <w:sz w:val="21"/>
                <w:szCs w:val="21"/>
              </w:rPr>
              <w:t>一级指标</w:t>
            </w:r>
          </w:p>
        </w:tc>
        <w:tc>
          <w:tcPr>
            <w:tcW w:w="17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黑体" w:hAnsi="黑体" w:eastAsia="黑体" w:cs="黑体"/>
                <w:b w:val="0"/>
                <w:bCs w:val="0"/>
                <w:sz w:val="21"/>
                <w:szCs w:val="21"/>
              </w:rPr>
            </w:pPr>
            <w:r>
              <w:rPr>
                <w:rFonts w:hint="eastAsia" w:ascii="黑体" w:hAnsi="黑体" w:eastAsia="黑体" w:cs="黑体"/>
                <w:b w:val="0"/>
                <w:bCs w:val="0"/>
                <w:spacing w:val="-4"/>
                <w:sz w:val="21"/>
                <w:szCs w:val="21"/>
              </w:rPr>
              <w:t>二级指标</w:t>
            </w:r>
          </w:p>
        </w:tc>
        <w:tc>
          <w:tcPr>
            <w:tcW w:w="51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黑体" w:hAnsi="黑体" w:eastAsia="黑体" w:cs="黑体"/>
                <w:b w:val="0"/>
                <w:bCs w:val="0"/>
                <w:sz w:val="21"/>
                <w:szCs w:val="21"/>
              </w:rPr>
            </w:pPr>
            <w:r>
              <w:rPr>
                <w:rFonts w:hint="eastAsia" w:ascii="黑体" w:hAnsi="黑体" w:eastAsia="黑体" w:cs="黑体"/>
                <w:b w:val="0"/>
                <w:bCs w:val="0"/>
                <w:spacing w:val="34"/>
                <w:sz w:val="21"/>
                <w:szCs w:val="21"/>
              </w:rPr>
              <w:t>评分标准</w:t>
            </w:r>
          </w:p>
        </w:tc>
        <w:tc>
          <w:tcPr>
            <w:tcW w:w="6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黑体" w:hAnsi="黑体" w:eastAsia="黑体" w:cs="黑体"/>
                <w:b w:val="0"/>
                <w:bCs w:val="0"/>
                <w:sz w:val="21"/>
                <w:szCs w:val="21"/>
              </w:rPr>
            </w:pPr>
            <w:r>
              <w:rPr>
                <w:rFonts w:hint="eastAsia" w:ascii="黑体" w:hAnsi="黑体" w:eastAsia="黑体" w:cs="黑体"/>
                <w:b w:val="0"/>
                <w:bCs w:val="0"/>
                <w:spacing w:val="37"/>
                <w:sz w:val="21"/>
                <w:szCs w:val="21"/>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atLeast"/>
        </w:trPr>
        <w:tc>
          <w:tcPr>
            <w:tcW w:w="155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历史底蕴浓郁</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(11分)</w:t>
            </w:r>
          </w:p>
        </w:tc>
        <w:tc>
          <w:tcPr>
            <w:tcW w:w="17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3"/>
                <w:sz w:val="18"/>
                <w:szCs w:val="18"/>
              </w:rPr>
              <w:t>创立时间悠久</w:t>
            </w:r>
          </w:p>
        </w:tc>
        <w:tc>
          <w:tcPr>
            <w:tcW w:w="51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品牌创立时间在50年(含)以上。(3分)</w:t>
            </w:r>
          </w:p>
        </w:tc>
        <w:tc>
          <w:tcPr>
            <w:tcW w:w="6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品牌创立时间在50 - 60年(含)(1分);品牌时间在60-100年(含)(2分)</w:t>
            </w:r>
            <w:r>
              <w:rPr>
                <w:rFonts w:hint="eastAsia" w:ascii="宋体" w:hAnsi="宋体" w:eastAsia="宋体" w:cs="宋体"/>
                <w:b w:val="0"/>
                <w:bCs w:val="0"/>
                <w:spacing w:val="8"/>
                <w:sz w:val="18"/>
                <w:szCs w:val="18"/>
                <w:lang w:eastAsia="zh-CN"/>
              </w:rPr>
              <w:t>；</w:t>
            </w:r>
            <w:r>
              <w:rPr>
                <w:rFonts w:ascii="宋体" w:hAnsi="宋体" w:eastAsia="宋体" w:cs="宋体"/>
                <w:b w:val="0"/>
                <w:bCs w:val="0"/>
                <w:spacing w:val="8"/>
                <w:sz w:val="18"/>
                <w:szCs w:val="18"/>
              </w:rPr>
              <w:t>品牌创立时间100年以上(3分)。不重复得分。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3" w:hRule="atLeast"/>
        </w:trPr>
        <w:tc>
          <w:tcPr>
            <w:tcW w:w="155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Arial"/>
                <w:b w:val="0"/>
                <w:bCs w:val="0"/>
                <w:sz w:val="21"/>
              </w:rPr>
            </w:pPr>
          </w:p>
        </w:tc>
        <w:tc>
          <w:tcPr>
            <w:tcW w:w="17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原址保护完整</w:t>
            </w:r>
          </w:p>
        </w:tc>
        <w:tc>
          <w:tcPr>
            <w:tcW w:w="51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有塑造历史记忆、民族特色和文化传承的建筑或设施，生产经营场所被认定为文物保护单位。(5分)</w:t>
            </w:r>
          </w:p>
        </w:tc>
        <w:tc>
          <w:tcPr>
            <w:tcW w:w="6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生产经营场所被列为全国重点文物保护单位(5分);生产经营场所被列为省级文物保护单位(4分);生产经营场所被列为市级文物保护单位(3分);生产经营场所被列为县级文物保护单位(2分);生产经营场所被列为未核定为文物保护单位的不可移动文物或历史建筑(1分)。同时被列入以上各级的，按列入的最高层级得分，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9" w:hRule="atLeast"/>
        </w:trPr>
        <w:tc>
          <w:tcPr>
            <w:tcW w:w="155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Arial"/>
                <w:b w:val="0"/>
                <w:bCs w:val="0"/>
                <w:sz w:val="21"/>
              </w:rPr>
            </w:pPr>
          </w:p>
        </w:tc>
        <w:tc>
          <w:tcPr>
            <w:tcW w:w="17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z w:val="18"/>
                <w:szCs w:val="18"/>
              </w:rPr>
              <w:t>历史价值突出</w:t>
            </w:r>
          </w:p>
        </w:tc>
        <w:tc>
          <w:tcPr>
            <w:tcW w:w="51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具有突出的历史文化价值、较高的建筑艺术价值、体现一定的科学技术价值或其他价值特色的建筑。(3分)</w:t>
            </w:r>
          </w:p>
        </w:tc>
        <w:tc>
          <w:tcPr>
            <w:tcW w:w="6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与重要历史事件、历史名人相关联，在城市发展与建设史、行业发展史上具有代表性或历史文化意义(1分);反映一定时期的建筑设计风格，建筑样式与细部等具有一定的艺术特色和价值，反映所在地域或民族的建筑艺术特点(1分);在城市或乡村一定地域内具有标志性或象征性，具有群体心理认同感(1分)。每符合一项得1分，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41" w:hRule="atLeast"/>
        </w:trPr>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文化传承有力</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7"/>
                <w:sz w:val="18"/>
                <w:szCs w:val="18"/>
              </w:rPr>
              <w:t>(15分)</w:t>
            </w:r>
          </w:p>
        </w:tc>
        <w:tc>
          <w:tcPr>
            <w:tcW w:w="17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3"/>
                <w:sz w:val="18"/>
                <w:szCs w:val="18"/>
              </w:rPr>
              <w:t>技艺传承有序</w:t>
            </w:r>
          </w:p>
        </w:tc>
        <w:tc>
          <w:tcPr>
            <w:tcW w:w="51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相关文化或技艺等被列入非物质文化遗产名录情况。(5分)</w:t>
            </w:r>
          </w:p>
        </w:tc>
        <w:tc>
          <w:tcPr>
            <w:tcW w:w="60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相关文化或技艺等被列入国家级非物质文化遗产代表性项目名录、联合国教科文组织非物质文化遗产名录(名册)(5分);相关文化或技艺等被列入省级非物质文化遗产代表性项目名录(3分);相关文化或技艺等被列入市县级非物质文化遗产代表性项目名录(1分)。同时被列入以上各级名录的，按列入的最高层级得分，不重复得分。</w:t>
            </w:r>
          </w:p>
        </w:tc>
      </w:tr>
    </w:tbl>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ascii="Arial"/>
          <w:b w:val="0"/>
          <w:bCs w:val="0"/>
          <w:sz w:val="21"/>
        </w:rPr>
      </w:pPr>
    </w:p>
    <w:p>
      <w:pPr>
        <w:keepNext w:val="0"/>
        <w:keepLines w:val="0"/>
        <w:pageBreakBefore w:val="0"/>
        <w:widowControl w:val="0"/>
        <w:kinsoku/>
        <w:wordWrap/>
        <w:overflowPunct/>
        <w:topLinePunct w:val="0"/>
        <w:autoSpaceDE/>
        <w:autoSpaceDN/>
        <w:bidi w:val="0"/>
        <w:adjustRightInd/>
        <w:snapToGrid/>
        <w:spacing w:line="40" w:lineRule="exact"/>
        <w:ind w:left="0"/>
        <w:jc w:val="left"/>
        <w:textAlignment w:val="auto"/>
        <w:rPr>
          <w:b w:val="0"/>
          <w:bCs w:val="0"/>
        </w:rPr>
      </w:pP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pacing w:val="-4"/>
          <w:sz w:val="18"/>
          <w:szCs w:val="18"/>
        </w:rPr>
        <w:sectPr>
          <w:headerReference r:id="rId3" w:type="default"/>
          <w:footerReference r:id="rId4" w:type="default"/>
          <w:pgSz w:w="16821" w:h="11900" w:orient="landscape"/>
          <w:pgMar w:top="1247" w:right="1474" w:bottom="1247" w:left="1361" w:header="0" w:footer="0" w:gutter="0"/>
          <w:pgBorders>
            <w:top w:val="none" w:sz="0" w:space="0"/>
            <w:left w:val="none" w:sz="0" w:space="0"/>
            <w:bottom w:val="none" w:sz="0" w:space="0"/>
            <w:right w:val="none" w:sz="0" w:space="0"/>
          </w:pgBorders>
          <w:pgNumType w:fmt="numberInDash"/>
          <w:cols w:space="720" w:num="1"/>
          <w:rtlGutter w:val="0"/>
          <w:docGrid w:linePitch="1" w:charSpace="0"/>
        </w:sectPr>
      </w:pPr>
    </w:p>
    <w:tbl>
      <w:tblPr>
        <w:tblStyle w:val="8"/>
        <w:tblW w:w="14573" w:type="dxa"/>
        <w:tblInd w:w="-3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9"/>
        <w:gridCol w:w="1754"/>
        <w:gridCol w:w="5194"/>
        <w:gridCol w:w="6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3" w:hRule="atLeast"/>
        </w:trPr>
        <w:tc>
          <w:tcPr>
            <w:tcW w:w="1569"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文化传承有力</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Arial"/>
                <w:b w:val="0"/>
                <w:bCs w:val="0"/>
                <w:sz w:val="21"/>
              </w:rPr>
            </w:pPr>
            <w:r>
              <w:rPr>
                <w:rFonts w:ascii="宋体" w:hAnsi="宋体" w:eastAsia="宋体" w:cs="宋体"/>
                <w:b w:val="0"/>
                <w:bCs w:val="0"/>
                <w:spacing w:val="7"/>
                <w:sz w:val="18"/>
                <w:szCs w:val="18"/>
              </w:rPr>
              <w:t>(15分)</w:t>
            </w:r>
          </w:p>
        </w:tc>
        <w:tc>
          <w:tcPr>
            <w:tcW w:w="17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可移动文物</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保护得当</w:t>
            </w:r>
          </w:p>
        </w:tc>
        <w:tc>
          <w:tcPr>
            <w:tcW w:w="51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具有一定历史价值的重要实物、艺术品、文献、手稿、图书资料、代表性实物等珍贵文物或一般文物。(4分)</w:t>
            </w:r>
          </w:p>
        </w:tc>
        <w:tc>
          <w:tcPr>
            <w:tcW w:w="60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具有一定历史价值的重要实物、艺术品、文献、手稿、图书资料、代表性实物等珍贵文物(3分);具有一定历史价值的重要实物、艺术品、文献、手稿、图书资料、代表性实物等一般文物(1分)。每符合一项得1分，最多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3" w:hRule="atLeast"/>
        </w:trPr>
        <w:tc>
          <w:tcPr>
            <w:tcW w:w="1569"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ascii="Arial"/>
                <w:b w:val="0"/>
                <w:bCs w:val="0"/>
                <w:sz w:val="21"/>
              </w:rPr>
            </w:pPr>
          </w:p>
        </w:tc>
        <w:tc>
          <w:tcPr>
            <w:tcW w:w="17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3"/>
                <w:sz w:val="18"/>
                <w:szCs w:val="18"/>
              </w:rPr>
              <w:t>传承载体丰富</w:t>
            </w:r>
          </w:p>
        </w:tc>
        <w:tc>
          <w:tcPr>
            <w:tcW w:w="51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建有体现品牌文化价值的博物馆、文化馆等。(4分)</w:t>
            </w:r>
          </w:p>
        </w:tc>
        <w:tc>
          <w:tcPr>
            <w:tcW w:w="60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相关部门认定的一级博物馆或一级文化馆(4分);相关部门认定的二、三级博物馆或二、三级文化馆(3分);建有专门的已经文物部门备案但未评定等级的博物馆或文化馆(2分);建有专门的但未经文物部门备案的博物馆或文化馆(1分)</w:t>
            </w:r>
            <w:r>
              <w:rPr>
                <w:rFonts w:hint="eastAsia" w:ascii="宋体" w:hAnsi="宋体" w:eastAsia="宋体" w:cs="宋体"/>
                <w:b w:val="0"/>
                <w:bCs w:val="0"/>
                <w:spacing w:val="8"/>
                <w:sz w:val="18"/>
                <w:szCs w:val="18"/>
                <w:lang w:eastAsia="zh-CN"/>
              </w:rPr>
              <w:t>；</w:t>
            </w:r>
            <w:r>
              <w:rPr>
                <w:rFonts w:ascii="宋体" w:hAnsi="宋体" w:eastAsia="宋体" w:cs="宋体"/>
                <w:b w:val="0"/>
                <w:bCs w:val="0"/>
                <w:spacing w:val="8"/>
                <w:sz w:val="18"/>
                <w:szCs w:val="18"/>
              </w:rPr>
              <w:t>同时获得不同层级部门或机构颁发的荣誉的，按所获最高层部门或机构颁发的荣誉得分，不重复得分。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1" w:hRule="atLeast"/>
        </w:trPr>
        <w:tc>
          <w:tcPr>
            <w:tcW w:w="1569"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ascii="Arial"/>
                <w:b w:val="0"/>
                <w:bCs w:val="0"/>
                <w:sz w:val="21"/>
              </w:rPr>
            </w:pPr>
          </w:p>
        </w:tc>
        <w:tc>
          <w:tcPr>
            <w:tcW w:w="17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理念影响深远</w:t>
            </w:r>
          </w:p>
        </w:tc>
        <w:tc>
          <w:tcPr>
            <w:tcW w:w="51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具有历代传承的店训、堂训、师训、店规等文化资源，并组织典礼仪式等活动。(2分)</w:t>
            </w:r>
          </w:p>
        </w:tc>
        <w:tc>
          <w:tcPr>
            <w:tcW w:w="60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有历代传承且在社会上有一定影响力的典礼仪式等文化活动(1分);有历代传承的店训、堂训、师训、店规等品牌文化(1分)。每符合一项得1分，最多得2分。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5" w:hRule="atLeast"/>
        </w:trPr>
        <w:tc>
          <w:tcPr>
            <w:tcW w:w="1569"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1"/>
                <w:sz w:val="18"/>
                <w:szCs w:val="18"/>
              </w:rPr>
              <w:t>品牌建设规范</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(12分)</w:t>
            </w:r>
          </w:p>
        </w:tc>
        <w:tc>
          <w:tcPr>
            <w:tcW w:w="17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2"/>
                <w:sz w:val="18"/>
                <w:szCs w:val="18"/>
              </w:rPr>
              <w:t>品牌权属清晰</w:t>
            </w:r>
          </w:p>
        </w:tc>
        <w:tc>
          <w:tcPr>
            <w:tcW w:w="51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依法拥有与中华老字号品牌相一致的企业字号或注册商标的所有权或使用权。(6分)</w:t>
            </w:r>
          </w:p>
        </w:tc>
        <w:tc>
          <w:tcPr>
            <w:tcW w:w="60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企业字号与品牌相一致(2分);拥有与品牌相一致的注册商标使用权(3分); 拥有与品牌相一致的注册商标所有权(4分);企业字号、注册商标与品牌均相一致，且拥有注册商标使用权(5分);企业字号、注册商标与品牌均相一致，且拥有注册商标所有权(6分)。不重复得分。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7" w:hRule="atLeast"/>
        </w:trPr>
        <w:tc>
          <w:tcPr>
            <w:tcW w:w="156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Arial"/>
                <w:b w:val="0"/>
                <w:bCs w:val="0"/>
                <w:sz w:val="21"/>
              </w:rPr>
            </w:pPr>
          </w:p>
        </w:tc>
        <w:tc>
          <w:tcPr>
            <w:tcW w:w="17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3"/>
                <w:sz w:val="18"/>
                <w:szCs w:val="18"/>
              </w:rPr>
              <w:t>驰名商标保护</w:t>
            </w:r>
          </w:p>
        </w:tc>
        <w:tc>
          <w:tcPr>
            <w:tcW w:w="51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与品牌一致的注册商标有驰名商标认定记录。(3分)</w:t>
            </w:r>
          </w:p>
        </w:tc>
        <w:tc>
          <w:tcPr>
            <w:tcW w:w="60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持有与品牌一致的商标并受驰名商标保护的(3分);持有与品牌不一致的商标并受驰名商标保护的(2分)。不重复得分。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1" w:hRule="atLeast"/>
        </w:trPr>
        <w:tc>
          <w:tcPr>
            <w:tcW w:w="1569"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Arial"/>
                <w:b w:val="0"/>
                <w:bCs w:val="0"/>
                <w:sz w:val="21"/>
              </w:rPr>
            </w:pPr>
          </w:p>
        </w:tc>
        <w:tc>
          <w:tcPr>
            <w:tcW w:w="17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宜传方式多样</w:t>
            </w:r>
          </w:p>
        </w:tc>
        <w:tc>
          <w:tcPr>
            <w:tcW w:w="51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运用多种方式积极宣传品牌文化和掌门人故事。(3分)</w:t>
            </w:r>
          </w:p>
        </w:tc>
        <w:tc>
          <w:tcPr>
            <w:tcW w:w="60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在电影、电视剧中宣传和展示品牌文化或掌门人故事(1分);以广告、视频(微视频、纪录片)、宣传册等形式宣传和展示品牌文化或掌门人故事(1分);在新媒体平台(微博、微信、抖音、快手等)宣传和展示品牌文化或掌门人故事(1分)。每符合一项得1分，最多得3分。</w:t>
            </w:r>
          </w:p>
        </w:tc>
      </w:tr>
    </w:tbl>
    <w:p>
      <w:pPr>
        <w:keepNext w:val="0"/>
        <w:keepLines w:val="0"/>
        <w:pageBreakBefore w:val="0"/>
        <w:widowControl w:val="0"/>
        <w:kinsoku/>
        <w:wordWrap/>
        <w:overflowPunct/>
        <w:topLinePunct w:val="0"/>
        <w:autoSpaceDE/>
        <w:autoSpaceDN/>
        <w:bidi w:val="0"/>
        <w:adjustRightInd/>
        <w:snapToGrid/>
        <w:spacing w:line="40" w:lineRule="exact"/>
        <w:ind w:left="0"/>
        <w:jc w:val="left"/>
        <w:textAlignment w:val="auto"/>
        <w:rPr>
          <w:rFonts w:ascii="Arial"/>
          <w:b w:val="0"/>
          <w:bCs w:val="0"/>
          <w:sz w:val="21"/>
        </w:rPr>
      </w:pP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bCs/>
          <w:spacing w:val="-4"/>
          <w:sz w:val="25"/>
          <w:szCs w:val="25"/>
        </w:rPr>
        <w:sectPr>
          <w:headerReference r:id="rId5" w:type="default"/>
          <w:footerReference r:id="rId6" w:type="default"/>
          <w:pgSz w:w="16821" w:h="11900" w:orient="landscape"/>
          <w:pgMar w:top="1474" w:right="1474" w:bottom="1474" w:left="1474" w:header="0" w:footer="0" w:gutter="0"/>
          <w:pgBorders>
            <w:top w:val="none" w:sz="0" w:space="0"/>
            <w:left w:val="none" w:sz="0" w:space="0"/>
            <w:bottom w:val="none" w:sz="0" w:space="0"/>
            <w:right w:val="none" w:sz="0" w:space="0"/>
          </w:pgBorders>
          <w:pgNumType w:fmt="numberInDash"/>
          <w:cols w:space="720" w:num="1"/>
          <w:rtlGutter w:val="0"/>
          <w:docGrid w:linePitch="1" w:charSpace="0"/>
        </w:sectPr>
      </w:pPr>
    </w:p>
    <w:tbl>
      <w:tblPr>
        <w:tblStyle w:val="8"/>
        <w:tblW w:w="14573"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6"/>
        <w:gridCol w:w="1765"/>
        <w:gridCol w:w="5200"/>
        <w:gridCol w:w="6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2" w:hRule="atLeast"/>
        </w:trPr>
        <w:tc>
          <w:tcPr>
            <w:tcW w:w="1457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b w:val="0"/>
                <w:bCs w:val="0"/>
                <w:sz w:val="24"/>
                <w:szCs w:val="24"/>
                <w:lang w:eastAsia="zh-CN"/>
              </w:rPr>
            </w:pPr>
            <w:r>
              <w:rPr>
                <w:rFonts w:ascii="宋体" w:hAnsi="宋体" w:eastAsia="宋体" w:cs="宋体"/>
                <w:b/>
                <w:bCs/>
                <w:spacing w:val="-4"/>
                <w:sz w:val="25"/>
                <w:szCs w:val="25"/>
              </w:rPr>
              <w:t>二、经营管理规范</w:t>
            </w:r>
            <w:r>
              <w:rPr>
                <w:rFonts w:hint="eastAsia" w:ascii="宋体" w:hAnsi="宋体" w:eastAsia="宋体" w:cs="宋体"/>
                <w:b/>
                <w:bCs/>
                <w:spacing w:val="-4"/>
                <w:sz w:val="25"/>
                <w:szCs w:val="25"/>
                <w:lang w:eastAsia="zh-CN"/>
              </w:rPr>
              <w:t>（</w:t>
            </w:r>
            <w:r>
              <w:rPr>
                <w:rFonts w:ascii="宋体" w:hAnsi="宋体" w:eastAsia="宋体" w:cs="宋体"/>
                <w:b/>
                <w:bCs/>
                <w:spacing w:val="-4"/>
                <w:sz w:val="25"/>
                <w:szCs w:val="25"/>
              </w:rPr>
              <w:t>22分</w:t>
            </w:r>
            <w:r>
              <w:rPr>
                <w:rFonts w:hint="eastAsia" w:ascii="宋体" w:hAnsi="宋体" w:eastAsia="宋体" w:cs="宋体"/>
                <w:b/>
                <w:bCs/>
                <w:spacing w:val="-4"/>
                <w:sz w:val="25"/>
                <w:szCs w:val="25"/>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15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黑体" w:hAnsi="黑体" w:eastAsia="黑体" w:cs="黑体"/>
                <w:b w:val="0"/>
                <w:bCs w:val="0"/>
                <w:spacing w:val="-2"/>
                <w:sz w:val="21"/>
                <w:szCs w:val="21"/>
              </w:rPr>
            </w:pPr>
            <w:r>
              <w:rPr>
                <w:rFonts w:hint="eastAsia" w:ascii="黑体" w:hAnsi="黑体" w:eastAsia="黑体" w:cs="黑体"/>
                <w:b w:val="0"/>
                <w:bCs w:val="0"/>
                <w:spacing w:val="-2"/>
                <w:sz w:val="21"/>
                <w:szCs w:val="21"/>
              </w:rPr>
              <w:t>一级指标</w:t>
            </w: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黑体" w:hAnsi="黑体" w:eastAsia="黑体" w:cs="黑体"/>
                <w:b w:val="0"/>
                <w:bCs w:val="0"/>
                <w:spacing w:val="-2"/>
                <w:sz w:val="21"/>
                <w:szCs w:val="21"/>
              </w:rPr>
            </w:pPr>
            <w:r>
              <w:rPr>
                <w:rFonts w:hint="eastAsia" w:ascii="黑体" w:hAnsi="黑体" w:eastAsia="黑体" w:cs="黑体"/>
                <w:b w:val="0"/>
                <w:bCs w:val="0"/>
                <w:spacing w:val="-2"/>
                <w:sz w:val="21"/>
                <w:szCs w:val="21"/>
              </w:rPr>
              <w:t>二级指标</w:t>
            </w:r>
          </w:p>
        </w:tc>
        <w:tc>
          <w:tcPr>
            <w:tcW w:w="5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黑体" w:hAnsi="黑体" w:eastAsia="黑体" w:cs="黑体"/>
                <w:b w:val="0"/>
                <w:bCs w:val="0"/>
                <w:spacing w:val="-2"/>
                <w:sz w:val="21"/>
                <w:szCs w:val="21"/>
              </w:rPr>
            </w:pPr>
            <w:r>
              <w:rPr>
                <w:rFonts w:hint="eastAsia" w:ascii="黑体" w:hAnsi="黑体" w:eastAsia="黑体" w:cs="黑体"/>
                <w:b w:val="0"/>
                <w:bCs w:val="0"/>
                <w:spacing w:val="-2"/>
                <w:sz w:val="21"/>
                <w:szCs w:val="21"/>
              </w:rPr>
              <w:t>评分标准</w:t>
            </w:r>
          </w:p>
        </w:tc>
        <w:tc>
          <w:tcPr>
            <w:tcW w:w="6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黑体" w:hAnsi="黑体" w:eastAsia="黑体" w:cs="黑体"/>
                <w:b w:val="0"/>
                <w:bCs w:val="0"/>
                <w:spacing w:val="-2"/>
                <w:sz w:val="21"/>
                <w:szCs w:val="21"/>
              </w:rPr>
            </w:pPr>
            <w:r>
              <w:rPr>
                <w:rFonts w:hint="eastAsia" w:ascii="黑体" w:hAnsi="黑体" w:eastAsia="黑体" w:cs="黑体"/>
                <w:b w:val="0"/>
                <w:bCs w:val="0"/>
                <w:spacing w:val="-2"/>
                <w:sz w:val="21"/>
                <w:szCs w:val="21"/>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2" w:hRule="atLeast"/>
        </w:trPr>
        <w:tc>
          <w:tcPr>
            <w:tcW w:w="1546"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9"/>
                <w:szCs w:val="19"/>
              </w:rPr>
            </w:pPr>
            <w:r>
              <w:rPr>
                <w:rFonts w:ascii="宋体" w:hAnsi="宋体" w:eastAsia="宋体" w:cs="宋体"/>
                <w:b w:val="0"/>
                <w:bCs w:val="0"/>
                <w:spacing w:val="-4"/>
                <w:sz w:val="19"/>
                <w:szCs w:val="19"/>
              </w:rPr>
              <w:t>经济效益良好</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9"/>
                <w:szCs w:val="19"/>
              </w:rPr>
            </w:pPr>
            <w:r>
              <w:rPr>
                <w:rFonts w:ascii="宋体" w:hAnsi="宋体" w:eastAsia="宋体" w:cs="宋体"/>
                <w:b w:val="0"/>
                <w:bCs w:val="0"/>
                <w:spacing w:val="5"/>
                <w:sz w:val="19"/>
                <w:szCs w:val="19"/>
              </w:rPr>
              <w:t>(12分)</w:t>
            </w: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9"/>
                <w:szCs w:val="19"/>
              </w:rPr>
            </w:pPr>
            <w:r>
              <w:rPr>
                <w:rFonts w:ascii="宋体" w:hAnsi="宋体" w:eastAsia="宋体" w:cs="宋体"/>
                <w:b w:val="0"/>
                <w:bCs w:val="0"/>
                <w:spacing w:val="-4"/>
                <w:sz w:val="19"/>
                <w:szCs w:val="19"/>
              </w:rPr>
              <w:t>主营业务连续</w:t>
            </w:r>
          </w:p>
        </w:tc>
        <w:tc>
          <w:tcPr>
            <w:tcW w:w="5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主营业务连续经营30年(含)以上。(3分)</w:t>
            </w:r>
          </w:p>
        </w:tc>
        <w:tc>
          <w:tcPr>
            <w:tcW w:w="6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主营业务连续经营时间为30-40年(含)(1分);主营业务连续经营时间为40-50年(含)(2分);主营业务连续经营时间为50年以上(3分)。不重复得分。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7" w:hRule="atLeast"/>
        </w:trPr>
        <w:tc>
          <w:tcPr>
            <w:tcW w:w="1546"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Arial"/>
                <w:b w:val="0"/>
                <w:bCs w:val="0"/>
                <w:sz w:val="21"/>
              </w:rPr>
            </w:pP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9"/>
                <w:szCs w:val="19"/>
              </w:rPr>
            </w:pPr>
            <w:r>
              <w:rPr>
                <w:rFonts w:ascii="宋体" w:hAnsi="宋体" w:eastAsia="宋体" w:cs="宋体"/>
                <w:b w:val="0"/>
                <w:bCs w:val="0"/>
                <w:spacing w:val="-4"/>
                <w:sz w:val="19"/>
                <w:szCs w:val="19"/>
              </w:rPr>
              <w:t>盈利能力良好</w:t>
            </w:r>
          </w:p>
        </w:tc>
        <w:tc>
          <w:tcPr>
            <w:tcW w:w="5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经营状况良好，可持续发展能力强。(3分)</w:t>
            </w:r>
          </w:p>
        </w:tc>
        <w:tc>
          <w:tcPr>
            <w:tcW w:w="6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企业处于盈利状态(1分);持续盈利2年(含)以上(2分);持续盈利3年(含)以上(3分)。不重复得分。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0" w:hRule="atLeast"/>
        </w:trPr>
        <w:tc>
          <w:tcPr>
            <w:tcW w:w="1546"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Arial"/>
                <w:b w:val="0"/>
                <w:bCs w:val="0"/>
                <w:sz w:val="21"/>
              </w:rPr>
            </w:pP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9"/>
                <w:szCs w:val="19"/>
              </w:rPr>
            </w:pPr>
            <w:r>
              <w:rPr>
                <w:rFonts w:ascii="宋体" w:hAnsi="宋体" w:eastAsia="宋体" w:cs="宋体"/>
                <w:b w:val="0"/>
                <w:bCs w:val="0"/>
                <w:spacing w:val="-4"/>
                <w:sz w:val="19"/>
                <w:szCs w:val="19"/>
              </w:rPr>
              <w:t>市场覆盖广泛</w:t>
            </w:r>
          </w:p>
        </w:tc>
        <w:tc>
          <w:tcPr>
            <w:tcW w:w="5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国际化、跨区域、数字化、连锁化经营情况。(4分)</w:t>
            </w:r>
          </w:p>
        </w:tc>
        <w:tc>
          <w:tcPr>
            <w:tcW w:w="6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商品或服务进入国际市场(1分);商品或服务进入省外市场(1分);运用电子 商务方式拓展销售渠道(1分);拥有2家以上的直营店或加盟店(1分)。每符合一项得1分，最多得4分。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0" w:hRule="atLeast"/>
        </w:trPr>
        <w:tc>
          <w:tcPr>
            <w:tcW w:w="1546"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Arial"/>
                <w:b w:val="0"/>
                <w:bCs w:val="0"/>
                <w:sz w:val="21"/>
              </w:rPr>
            </w:pP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9"/>
                <w:szCs w:val="19"/>
              </w:rPr>
            </w:pPr>
            <w:r>
              <w:rPr>
                <w:rFonts w:ascii="宋体" w:hAnsi="宋体" w:eastAsia="宋体" w:cs="宋体"/>
                <w:b w:val="0"/>
                <w:bCs w:val="0"/>
                <w:spacing w:val="-4"/>
                <w:sz w:val="19"/>
                <w:szCs w:val="19"/>
              </w:rPr>
              <w:t>企业上市发展</w:t>
            </w:r>
          </w:p>
        </w:tc>
        <w:tc>
          <w:tcPr>
            <w:tcW w:w="5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企业是否上市。(2分)</w:t>
            </w:r>
          </w:p>
        </w:tc>
        <w:tc>
          <w:tcPr>
            <w:tcW w:w="6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在境内外股票市场公开发行股票(2分)。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1" w:hRule="atLeast"/>
        </w:trPr>
        <w:tc>
          <w:tcPr>
            <w:tcW w:w="1546"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9"/>
                <w:szCs w:val="19"/>
              </w:rPr>
            </w:pPr>
            <w:r>
              <w:rPr>
                <w:rFonts w:ascii="宋体" w:hAnsi="宋体" w:eastAsia="宋体" w:cs="宋体"/>
                <w:b w:val="0"/>
                <w:bCs w:val="0"/>
                <w:spacing w:val="-4"/>
                <w:sz w:val="19"/>
                <w:szCs w:val="19"/>
              </w:rPr>
              <w:t>制度建设完善</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9"/>
                <w:szCs w:val="19"/>
              </w:rPr>
            </w:pPr>
            <w:r>
              <w:rPr>
                <w:rFonts w:ascii="宋体" w:hAnsi="宋体" w:eastAsia="宋体" w:cs="宋体"/>
                <w:b w:val="0"/>
                <w:bCs w:val="0"/>
                <w:spacing w:val="5"/>
                <w:sz w:val="19"/>
                <w:szCs w:val="19"/>
              </w:rPr>
              <w:t>(10分)</w:t>
            </w: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9"/>
                <w:szCs w:val="19"/>
              </w:rPr>
            </w:pPr>
            <w:r>
              <w:rPr>
                <w:rFonts w:ascii="宋体" w:hAnsi="宋体" w:eastAsia="宋体" w:cs="宋体"/>
                <w:b w:val="0"/>
                <w:bCs w:val="0"/>
                <w:spacing w:val="-4"/>
                <w:sz w:val="19"/>
                <w:szCs w:val="19"/>
              </w:rPr>
              <w:t>管理制度健全</w:t>
            </w:r>
          </w:p>
        </w:tc>
        <w:tc>
          <w:tcPr>
            <w:tcW w:w="5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有完善的管理制度，包括突发事件应急处置机制及食品安全、环境卫生、知识产权、消费者权益、市场公平竞争、人才培训等。(5分)</w:t>
            </w:r>
          </w:p>
        </w:tc>
        <w:tc>
          <w:tcPr>
            <w:tcW w:w="6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有完善的管理制度，包括突发事件应急处置机制、食品安全、环境卫生、知识产权、消费者权益、其他制度。每拥有一种管理制度得1分，最多得5分。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60" w:hRule="atLeast"/>
        </w:trPr>
        <w:tc>
          <w:tcPr>
            <w:tcW w:w="1546"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Arial"/>
                <w:b w:val="0"/>
                <w:bCs w:val="0"/>
                <w:sz w:val="21"/>
              </w:rPr>
            </w:pP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9"/>
                <w:szCs w:val="19"/>
              </w:rPr>
            </w:pPr>
            <w:r>
              <w:rPr>
                <w:rFonts w:ascii="宋体" w:hAnsi="宋体" w:eastAsia="宋体" w:cs="宋体"/>
                <w:b w:val="0"/>
                <w:bCs w:val="0"/>
                <w:spacing w:val="-4"/>
                <w:sz w:val="19"/>
                <w:szCs w:val="19"/>
              </w:rPr>
              <w:t>体制改革完善</w:t>
            </w:r>
          </w:p>
        </w:tc>
        <w:tc>
          <w:tcPr>
            <w:tcW w:w="52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从人事、用工、分配制度着手深化企业改革，明晰产权，开展兼并重组，推进混合所有制改革，构建现代企业治理体系，拓展延长产业链，集团化、产业化发展。(5分)</w:t>
            </w:r>
          </w:p>
        </w:tc>
        <w:tc>
          <w:tcPr>
            <w:tcW w:w="60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采取人事制度、用工制度、分配制度改革措施(1分);明晰产权，开展兼并重组，推进混合所有制改革(1分);构建现代企业治理体系(1分);拓展延长产业链，集团化、产业化发展(2分)。每符合一项得1分，最多得5分。</w:t>
            </w:r>
          </w:p>
        </w:tc>
      </w:tr>
    </w:tbl>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bCs/>
          <w:spacing w:val="-4"/>
          <w:sz w:val="25"/>
          <w:szCs w:val="25"/>
        </w:rPr>
        <w:sectPr>
          <w:headerReference r:id="rId7" w:type="default"/>
          <w:footerReference r:id="rId8" w:type="default"/>
          <w:pgSz w:w="16821" w:h="11900" w:orient="landscape"/>
          <w:pgMar w:top="1474" w:right="1474" w:bottom="1474" w:left="1474" w:header="0" w:footer="0" w:gutter="0"/>
          <w:pgBorders>
            <w:top w:val="none" w:sz="0" w:space="0"/>
            <w:left w:val="none" w:sz="0" w:space="0"/>
            <w:bottom w:val="none" w:sz="0" w:space="0"/>
            <w:right w:val="none" w:sz="0" w:space="0"/>
          </w:pgBorders>
          <w:pgNumType w:fmt="numberInDash"/>
          <w:cols w:space="720" w:num="1"/>
          <w:rtlGutter w:val="0"/>
          <w:docGrid w:linePitch="1" w:charSpace="0"/>
        </w:sectPr>
      </w:pPr>
    </w:p>
    <w:tbl>
      <w:tblPr>
        <w:tblStyle w:val="8"/>
        <w:tblW w:w="14573"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6"/>
        <w:gridCol w:w="1765"/>
        <w:gridCol w:w="5189"/>
        <w:gridCol w:w="6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1457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24"/>
                <w:szCs w:val="24"/>
              </w:rPr>
            </w:pPr>
            <w:r>
              <w:rPr>
                <w:rFonts w:ascii="宋体" w:hAnsi="宋体" w:eastAsia="宋体" w:cs="宋体"/>
                <w:b/>
                <w:bCs/>
                <w:spacing w:val="-4"/>
                <w:sz w:val="25"/>
                <w:szCs w:val="25"/>
              </w:rPr>
              <w:t>三、创新发展能力突出(40分)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7" w:hRule="atLeast"/>
        </w:trPr>
        <w:tc>
          <w:tcPr>
            <w:tcW w:w="15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黑体" w:hAnsi="黑体" w:eastAsia="黑体" w:cs="黑体"/>
                <w:b w:val="0"/>
                <w:bCs w:val="0"/>
                <w:spacing w:val="-2"/>
                <w:sz w:val="21"/>
                <w:szCs w:val="21"/>
              </w:rPr>
            </w:pPr>
            <w:r>
              <w:rPr>
                <w:rFonts w:hint="eastAsia" w:ascii="黑体" w:hAnsi="黑体" w:eastAsia="黑体" w:cs="黑体"/>
                <w:b w:val="0"/>
                <w:bCs w:val="0"/>
                <w:spacing w:val="-2"/>
                <w:sz w:val="21"/>
                <w:szCs w:val="21"/>
              </w:rPr>
              <w:t>一级指标</w:t>
            </w: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黑体" w:hAnsi="黑体" w:eastAsia="黑体" w:cs="黑体"/>
                <w:b w:val="0"/>
                <w:bCs w:val="0"/>
                <w:spacing w:val="-2"/>
                <w:sz w:val="21"/>
                <w:szCs w:val="21"/>
              </w:rPr>
            </w:pPr>
            <w:r>
              <w:rPr>
                <w:rFonts w:hint="eastAsia" w:ascii="黑体" w:hAnsi="黑体" w:eastAsia="黑体" w:cs="黑体"/>
                <w:b w:val="0"/>
                <w:bCs w:val="0"/>
                <w:spacing w:val="-2"/>
                <w:sz w:val="21"/>
                <w:szCs w:val="21"/>
              </w:rPr>
              <w:t>二级指标</w:t>
            </w: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黑体" w:hAnsi="黑体" w:eastAsia="黑体" w:cs="黑体"/>
                <w:b w:val="0"/>
                <w:bCs w:val="0"/>
                <w:spacing w:val="-2"/>
                <w:sz w:val="21"/>
                <w:szCs w:val="21"/>
              </w:rPr>
            </w:pPr>
            <w:r>
              <w:rPr>
                <w:rFonts w:hint="eastAsia" w:ascii="黑体" w:hAnsi="黑体" w:eastAsia="黑体" w:cs="黑体"/>
                <w:b w:val="0"/>
                <w:bCs w:val="0"/>
                <w:spacing w:val="-2"/>
                <w:sz w:val="21"/>
                <w:szCs w:val="21"/>
              </w:rPr>
              <w:t>评分标准</w:t>
            </w:r>
          </w:p>
        </w:tc>
        <w:tc>
          <w:tcPr>
            <w:tcW w:w="60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黑体" w:hAnsi="黑体" w:eastAsia="黑体" w:cs="黑体"/>
                <w:b w:val="0"/>
                <w:bCs w:val="0"/>
                <w:spacing w:val="-2"/>
                <w:sz w:val="21"/>
                <w:szCs w:val="21"/>
              </w:rPr>
            </w:pPr>
            <w:r>
              <w:rPr>
                <w:rFonts w:hint="eastAsia" w:ascii="黑体" w:hAnsi="黑体" w:eastAsia="黑体" w:cs="黑体"/>
                <w:b w:val="0"/>
                <w:bCs w:val="0"/>
                <w:spacing w:val="-2"/>
                <w:sz w:val="21"/>
                <w:szCs w:val="21"/>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2" w:hRule="atLeast"/>
        </w:trPr>
        <w:tc>
          <w:tcPr>
            <w:tcW w:w="15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9"/>
                <w:szCs w:val="19"/>
              </w:rPr>
            </w:pPr>
            <w:r>
              <w:rPr>
                <w:rFonts w:ascii="宋体" w:hAnsi="宋体" w:eastAsia="宋体" w:cs="宋体"/>
                <w:b w:val="0"/>
                <w:bCs w:val="0"/>
                <w:sz w:val="19"/>
                <w:szCs w:val="19"/>
              </w:rPr>
              <w:t>产品服务优质</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9"/>
                <w:szCs w:val="19"/>
              </w:rPr>
            </w:pPr>
            <w:r>
              <w:rPr>
                <w:rFonts w:ascii="宋体" w:hAnsi="宋体" w:eastAsia="宋体" w:cs="宋体"/>
                <w:b w:val="0"/>
                <w:bCs w:val="0"/>
                <w:spacing w:val="5"/>
                <w:sz w:val="19"/>
                <w:szCs w:val="19"/>
              </w:rPr>
              <w:t>(10分)</w:t>
            </w: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9"/>
                <w:szCs w:val="19"/>
              </w:rPr>
            </w:pPr>
            <w:r>
              <w:rPr>
                <w:rFonts w:ascii="宋体" w:hAnsi="宋体" w:eastAsia="宋体" w:cs="宋体"/>
                <w:b w:val="0"/>
                <w:bCs w:val="0"/>
                <w:spacing w:val="-4"/>
                <w:sz w:val="19"/>
                <w:szCs w:val="19"/>
              </w:rPr>
              <w:t>服务品质良好</w:t>
            </w: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坚守工匠精神，提升服务质量和服务水平，永葆品质魅力。</w:t>
            </w:r>
          </w:p>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z w:val="18"/>
                <w:szCs w:val="18"/>
              </w:rPr>
            </w:pPr>
            <w:r>
              <w:rPr>
                <w:rFonts w:ascii="宋体" w:hAnsi="宋体" w:eastAsia="宋体" w:cs="宋体"/>
                <w:b w:val="0"/>
                <w:bCs w:val="0"/>
                <w:spacing w:val="8"/>
                <w:sz w:val="18"/>
                <w:szCs w:val="18"/>
              </w:rPr>
              <w:t>(5分)</w:t>
            </w:r>
          </w:p>
        </w:tc>
        <w:tc>
          <w:tcPr>
            <w:tcW w:w="60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z w:val="18"/>
                <w:szCs w:val="18"/>
              </w:rPr>
            </w:pPr>
            <w:r>
              <w:rPr>
                <w:rFonts w:ascii="宋体" w:hAnsi="宋体" w:eastAsia="宋体" w:cs="宋体"/>
                <w:b w:val="0"/>
                <w:bCs w:val="0"/>
                <w:spacing w:val="8"/>
                <w:sz w:val="18"/>
                <w:szCs w:val="18"/>
              </w:rPr>
              <w:t>拥有国家级或省级非物质文化遗产代表性传承人、工艺美术大师等技艺传承人，面向居民生活提供经济价值、文化价值较高的产品、技艺或服务，最多得5分。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3" w:hRule="atLeast"/>
        </w:trPr>
        <w:tc>
          <w:tcPr>
            <w:tcW w:w="15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Arial"/>
                <w:b w:val="0"/>
                <w:bCs w:val="0"/>
                <w:sz w:val="21"/>
              </w:rPr>
            </w:pP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3"/>
                <w:sz w:val="18"/>
                <w:szCs w:val="18"/>
              </w:rPr>
              <w:t>产品品类丰富</w:t>
            </w: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根据消费需求创新开发产品，提升产品创新力，丰富产品品类。(5分)</w:t>
            </w:r>
          </w:p>
        </w:tc>
        <w:tc>
          <w:tcPr>
            <w:tcW w:w="60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z w:val="17"/>
                <w:szCs w:val="17"/>
              </w:rPr>
            </w:pPr>
            <w:r>
              <w:rPr>
                <w:rFonts w:ascii="宋体" w:hAnsi="宋体" w:eastAsia="宋体" w:cs="宋体"/>
                <w:b w:val="0"/>
                <w:bCs w:val="0"/>
                <w:spacing w:val="8"/>
                <w:sz w:val="18"/>
                <w:szCs w:val="18"/>
              </w:rPr>
              <w:t>在坚持产品品质前提下，根据广大消费者需求变化创新开发产品，丰富产品品类，最多得5分。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0" w:hRule="atLeast"/>
        </w:trPr>
        <w:tc>
          <w:tcPr>
            <w:tcW w:w="1546"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z w:val="18"/>
                <w:szCs w:val="18"/>
              </w:rPr>
              <w:t>研发能力突出</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7"/>
                <w:sz w:val="18"/>
                <w:szCs w:val="18"/>
              </w:rPr>
              <w:t>(10分)</w:t>
            </w: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生产技艺革新</w:t>
            </w: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运用先进技术和设备，全面掌握并运用传统工艺核心技艺和关键技术，与时俱进改进技艺，创新生产方式，降低生产成本，提高生产效率，形成了与品牌传统工艺技术相匹配的新技艺，且成效明显。(4分)</w:t>
            </w:r>
          </w:p>
        </w:tc>
        <w:tc>
          <w:tcPr>
            <w:tcW w:w="60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运用先进技术和设备，全面掌握并运用传统工艺核心技艺和关键技术，与时俱进改进技艺，创新生产方式，降低生产成本，提高生产效率，形成了与品牌传统工艺技术相匹配的新技艺，且成效明显，最多得4分。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53" w:hRule="atLeast"/>
        </w:trPr>
        <w:tc>
          <w:tcPr>
            <w:tcW w:w="1546"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Arial"/>
                <w:b w:val="0"/>
                <w:bCs w:val="0"/>
                <w:sz w:val="21"/>
              </w:rPr>
            </w:pP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3"/>
                <w:sz w:val="18"/>
                <w:szCs w:val="18"/>
              </w:rPr>
              <w:t>科技研发创新</w:t>
            </w: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建立技术中心或科研机构，对传统技艺进行研究、保护、传承和创新。(3分)</w:t>
            </w:r>
          </w:p>
        </w:tc>
        <w:tc>
          <w:tcPr>
            <w:tcW w:w="60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建立国家级技术中心或同级别科研机构(3分);建立省级技术中心或同级别科研机构(2分);建立市级技术中心或同级别科研机构(1分)。不重复得分。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9" w:hRule="atLeast"/>
        </w:trPr>
        <w:tc>
          <w:tcPr>
            <w:tcW w:w="1546" w:type="dxa"/>
            <w:vMerge w:val="continue"/>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Arial"/>
                <w:b w:val="0"/>
                <w:bCs w:val="0"/>
                <w:sz w:val="21"/>
              </w:rPr>
            </w:pPr>
          </w:p>
        </w:tc>
        <w:tc>
          <w:tcPr>
            <w:tcW w:w="176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人才培养有力</w:t>
            </w:r>
          </w:p>
        </w:tc>
        <w:tc>
          <w:tcPr>
            <w:tcW w:w="51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有完善的人才培养和管理制度，注重专业人才队伍建设。(3分)</w:t>
            </w:r>
          </w:p>
        </w:tc>
        <w:tc>
          <w:tcPr>
            <w:tcW w:w="60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有完善的人才培养和管理制度，定期组织员工培训，积极吸收高等教育毕业生就业，吸纳非物质文化遗产代表性传承人参与生产或培训等。每采取一项措施得1分，最多得3分。</w:t>
            </w:r>
          </w:p>
        </w:tc>
      </w:tr>
    </w:tbl>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sectPr>
          <w:headerReference r:id="rId9" w:type="default"/>
          <w:footerReference r:id="rId10" w:type="default"/>
          <w:pgSz w:w="16821" w:h="11900" w:orient="landscape"/>
          <w:pgMar w:top="1474" w:right="1474" w:bottom="1474" w:left="1474" w:header="0" w:footer="0" w:gutter="0"/>
          <w:pgBorders>
            <w:top w:val="none" w:sz="0" w:space="0"/>
            <w:left w:val="none" w:sz="0" w:space="0"/>
            <w:bottom w:val="none" w:sz="0" w:space="0"/>
            <w:right w:val="none" w:sz="0" w:space="0"/>
          </w:pgBorders>
          <w:pgNumType w:fmt="numberInDash"/>
          <w:cols w:space="720" w:num="1"/>
          <w:rtlGutter w:val="0"/>
          <w:docGrid w:linePitch="1" w:charSpace="0"/>
        </w:sectPr>
      </w:pPr>
    </w:p>
    <w:tbl>
      <w:tblPr>
        <w:tblStyle w:val="8"/>
        <w:tblW w:w="14573" w:type="dxa"/>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6"/>
        <w:gridCol w:w="1765"/>
        <w:gridCol w:w="5208"/>
        <w:gridCol w:w="3"/>
        <w:gridCol w:w="6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2" w:hRule="atLeast"/>
        </w:trPr>
        <w:tc>
          <w:tcPr>
            <w:tcW w:w="154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z w:val="18"/>
                <w:szCs w:val="18"/>
              </w:rPr>
              <w:t>消费场景丰富</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pPr>
            <w:r>
              <w:rPr>
                <w:rFonts w:ascii="宋体" w:hAnsi="宋体" w:eastAsia="宋体" w:cs="宋体"/>
                <w:b w:val="0"/>
                <w:bCs w:val="0"/>
                <w:sz w:val="18"/>
                <w:szCs w:val="18"/>
              </w:rPr>
              <w:t>(12分)</w:t>
            </w:r>
          </w:p>
        </w:tc>
        <w:tc>
          <w:tcPr>
            <w:tcW w:w="1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3"/>
                <w:sz w:val="18"/>
                <w:szCs w:val="18"/>
              </w:rPr>
              <w:t>传播活动多样</w:t>
            </w:r>
          </w:p>
        </w:tc>
        <w:tc>
          <w:tcPr>
            <w:tcW w:w="5211"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举办形式多样的购物消费活动、文化内涵丰富的文化活动，以及突出商旅文融合发展的互动活动。(3分)</w:t>
            </w:r>
          </w:p>
        </w:tc>
        <w:tc>
          <w:tcPr>
            <w:tcW w:w="60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经常性举办具有影响力的大型购物消费类活动、文化内涵丰富的文化活动，以及突出商旅文融合发展的互动活动，每举办一次上述活动得0.5分，最多得3分。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15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Arial"/>
                <w:b w:val="0"/>
                <w:bCs w:val="0"/>
                <w:sz w:val="21"/>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3"/>
                <w:sz w:val="18"/>
                <w:szCs w:val="18"/>
              </w:rPr>
              <w:t>跨界融合精准</w:t>
            </w:r>
          </w:p>
        </w:tc>
        <w:tc>
          <w:tcPr>
            <w:tcW w:w="5211"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与匹配度高的国货品牌、影视或动漫作品、文创产品等跨界互动，联合打造IP,共同开展营销，吸引年轻消费群体，推动流量转化引领国潮热点。(3分)</w:t>
            </w:r>
          </w:p>
        </w:tc>
        <w:tc>
          <w:tcPr>
            <w:tcW w:w="60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与匹配度高的国货品牌、影视或动漫作品、文创产品等跨界互动，联合打造IP,共同开展营销。每采取一项措施得0.5分，最多得3分。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atLeast"/>
        </w:trPr>
        <w:tc>
          <w:tcPr>
            <w:tcW w:w="1546" w:type="dxa"/>
            <w:vMerge w:val="restart"/>
            <w:tcBorders>
              <w:top w:val="single" w:color="auto" w:sz="4" w:space="0"/>
              <w:left w:val="single" w:color="auto" w:sz="4" w:space="0"/>
            </w:tcBorders>
            <w:noWrap w:val="0"/>
            <w:vAlign w:val="center"/>
          </w:tcPr>
          <w:p>
            <w:pPr>
              <w:pStyle w:val="2"/>
            </w:pPr>
          </w:p>
        </w:tc>
        <w:tc>
          <w:tcPr>
            <w:tcW w:w="176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营销渠道多元</w:t>
            </w:r>
          </w:p>
        </w:tc>
        <w:tc>
          <w:tcPr>
            <w:tcW w:w="52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运用互联网技术，利用第三方平台、公众号、直播带货、快闪店等方式，全方位推动线上线下营销渠道融合。(3分)</w:t>
            </w:r>
          </w:p>
        </w:tc>
        <w:tc>
          <w:tcPr>
            <w:tcW w:w="60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运用互联网技术，利用第三方平台、公众号、直播、快闪店等方式，全方位推动线上线下营销渠道融合，每采取一种线上营销方式可得0.5分，最多得3分。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3" w:hRule="atLeast"/>
        </w:trPr>
        <w:tc>
          <w:tcPr>
            <w:tcW w:w="1546" w:type="dxa"/>
            <w:vMerge w:val="continue"/>
            <w:tcBorders>
              <w:top w:val="nil"/>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Arial"/>
                <w:b w:val="0"/>
                <w:bCs w:val="0"/>
                <w:sz w:val="21"/>
              </w:rPr>
            </w:pP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消费体验提升</w:t>
            </w:r>
          </w:p>
        </w:tc>
        <w:tc>
          <w:tcPr>
            <w:tcW w:w="52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注重设计标识、改进包装、升级店面、提供增值服务等，提升产品消费体验。(3分)</w:t>
            </w:r>
          </w:p>
        </w:tc>
        <w:tc>
          <w:tcPr>
            <w:tcW w:w="60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通过注重设计标识、改进包装，升级店面、提供增值服务等措施，提升产品消费体验，吸引更多消费群体，每采用一种措施得0.5分，最多得3分。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trPr>
        <w:tc>
          <w:tcPr>
            <w:tcW w:w="15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z w:val="18"/>
                <w:szCs w:val="18"/>
              </w:rPr>
              <w:t>社会贡献杰出</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9"/>
                <w:sz w:val="18"/>
                <w:szCs w:val="18"/>
              </w:rPr>
              <w:t>(8分)</w:t>
            </w: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履行社会责任</w:t>
            </w:r>
          </w:p>
        </w:tc>
        <w:tc>
          <w:tcPr>
            <w:tcW w:w="52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参与疫情防控、抢险救灾、应急保供等重大任务。(3分)</w:t>
            </w:r>
          </w:p>
        </w:tc>
        <w:tc>
          <w:tcPr>
            <w:tcW w:w="60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每参与一次任务得0.5分，最多得3分。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154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ascii="Arial"/>
                <w:b w:val="0"/>
                <w:bCs w:val="0"/>
                <w:sz w:val="21"/>
              </w:rPr>
            </w:pP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参与公益活动</w:t>
            </w:r>
          </w:p>
        </w:tc>
        <w:tc>
          <w:tcPr>
            <w:tcW w:w="52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积极参与政府部门、行业协会组织的老字号活动，组织促进行业发展的公益性活动。(3分)</w:t>
            </w:r>
          </w:p>
        </w:tc>
        <w:tc>
          <w:tcPr>
            <w:tcW w:w="60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每参与1项政府部门、行业协会组织的老字号活动得0.5分；每组织一次促进行业发展的公益性活动得0.5分。最多得3分。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4" w:hRule="atLeast"/>
        </w:trPr>
        <w:tc>
          <w:tcPr>
            <w:tcW w:w="154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ascii="Arial"/>
                <w:b w:val="0"/>
                <w:bCs w:val="0"/>
                <w:sz w:val="21"/>
              </w:rPr>
            </w:pP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eastAsia="宋体" w:cs="宋体"/>
                <w:b w:val="0"/>
                <w:bCs w:val="0"/>
                <w:sz w:val="18"/>
                <w:szCs w:val="18"/>
              </w:rPr>
            </w:pPr>
            <w:r>
              <w:rPr>
                <w:rFonts w:ascii="宋体" w:hAnsi="宋体" w:eastAsia="宋体" w:cs="宋体"/>
                <w:b w:val="0"/>
                <w:bCs w:val="0"/>
                <w:spacing w:val="-4"/>
                <w:sz w:val="18"/>
                <w:szCs w:val="18"/>
              </w:rPr>
              <w:t>获得荣誉奖励</w:t>
            </w:r>
          </w:p>
        </w:tc>
        <w:tc>
          <w:tcPr>
            <w:tcW w:w="52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相关商标、产品或企业获得荣誉情况。(2分)</w:t>
            </w:r>
          </w:p>
        </w:tc>
        <w:tc>
          <w:tcPr>
            <w:tcW w:w="60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ascii="宋体" w:hAnsi="宋体" w:eastAsia="宋体" w:cs="宋体"/>
                <w:b w:val="0"/>
                <w:bCs w:val="0"/>
                <w:spacing w:val="8"/>
                <w:sz w:val="18"/>
                <w:szCs w:val="18"/>
              </w:rPr>
            </w:pPr>
            <w:r>
              <w:rPr>
                <w:rFonts w:ascii="宋体" w:hAnsi="宋体" w:eastAsia="宋体" w:cs="宋体"/>
                <w:b w:val="0"/>
                <w:bCs w:val="0"/>
                <w:spacing w:val="8"/>
                <w:sz w:val="18"/>
                <w:szCs w:val="18"/>
              </w:rPr>
              <w:t>相关商标、产品或企业获得国家级荣誉称号(2分);相关商标、产品或企业获得省级荣誉称号(1.5分);相关商标、产品或企业获得市级、县级等荣誉称号(1 分);相关商标、产品或企业获得其他荣誉称号(0.5分)。同时获得国家级、省级、市县级荣誉称号的，按所获的最高层级荣誉称号得分，不重复得分。</w:t>
            </w:r>
          </w:p>
        </w:tc>
      </w:tr>
    </w:tbl>
    <w:p>
      <w:pPr>
        <w:rPr>
          <w:sz w:val="21"/>
          <w:szCs w:val="21"/>
        </w:rPr>
      </w:pP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黑体" w:hAnsi="黑体" w:eastAsia="黑体" w:cs="黑体"/>
          <w:sz w:val="18"/>
          <w:szCs w:val="18"/>
        </w:rPr>
      </w:pPr>
      <w:r>
        <w:rPr>
          <w:rFonts w:hint="eastAsia" w:ascii="黑体" w:hAnsi="黑体" w:eastAsia="黑体" w:cs="黑体"/>
          <w:sz w:val="18"/>
          <w:szCs w:val="18"/>
        </w:rPr>
        <w:t>编制说明：</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楷体" w:hAnsi="楷体" w:eastAsia="楷体" w:cs="楷体"/>
          <w:sz w:val="18"/>
          <w:szCs w:val="18"/>
        </w:rPr>
      </w:pPr>
      <w:r>
        <w:rPr>
          <w:rFonts w:hint="eastAsia" w:ascii="楷体" w:hAnsi="楷体" w:eastAsia="楷体" w:cs="楷体"/>
          <w:sz w:val="18"/>
          <w:szCs w:val="18"/>
        </w:rPr>
        <w:t>1.编制背景</w:t>
      </w:r>
    </w:p>
    <w:p>
      <w:pPr>
        <w:keepNext w:val="0"/>
        <w:keepLines w:val="0"/>
        <w:pageBreakBefore w:val="0"/>
        <w:widowControl w:val="0"/>
        <w:kinsoku/>
        <w:wordWrap/>
        <w:overflowPunct/>
        <w:topLinePunct w:val="0"/>
        <w:autoSpaceDE/>
        <w:autoSpaceDN/>
        <w:bidi w:val="0"/>
        <w:adjustRightInd/>
        <w:snapToGrid/>
        <w:spacing w:line="180" w:lineRule="exact"/>
        <w:textAlignment w:val="auto"/>
        <w:rPr>
          <w:sz w:val="18"/>
          <w:szCs w:val="18"/>
        </w:rPr>
      </w:pPr>
      <w:r>
        <w:rPr>
          <w:sz w:val="18"/>
          <w:szCs w:val="18"/>
        </w:rPr>
        <w:t>1.1本评价指标是对《中华老字号示范创建管理办法》相关内容的补充。</w:t>
      </w:r>
    </w:p>
    <w:p>
      <w:pPr>
        <w:keepNext w:val="0"/>
        <w:keepLines w:val="0"/>
        <w:pageBreakBefore w:val="0"/>
        <w:widowControl w:val="0"/>
        <w:kinsoku/>
        <w:wordWrap/>
        <w:overflowPunct/>
        <w:topLinePunct w:val="0"/>
        <w:autoSpaceDE/>
        <w:autoSpaceDN/>
        <w:bidi w:val="0"/>
        <w:adjustRightInd/>
        <w:snapToGrid/>
        <w:spacing w:line="180" w:lineRule="exact"/>
        <w:textAlignment w:val="auto"/>
        <w:rPr>
          <w:sz w:val="18"/>
          <w:szCs w:val="18"/>
        </w:rPr>
      </w:pPr>
      <w:r>
        <w:rPr>
          <w:sz w:val="18"/>
          <w:szCs w:val="18"/>
        </w:rPr>
        <w:t>1.2本评价指标用于“中华老字号”示范创建工作。</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楷体" w:hAnsi="楷体" w:eastAsia="楷体" w:cs="楷体"/>
          <w:sz w:val="18"/>
          <w:szCs w:val="18"/>
        </w:rPr>
      </w:pPr>
      <w:r>
        <w:rPr>
          <w:rFonts w:hint="eastAsia" w:ascii="楷体" w:hAnsi="楷体" w:eastAsia="楷体" w:cs="楷体"/>
          <w:sz w:val="18"/>
          <w:szCs w:val="18"/>
        </w:rPr>
        <w:t>2.适用范围</w:t>
      </w:r>
    </w:p>
    <w:p>
      <w:pPr>
        <w:keepNext w:val="0"/>
        <w:keepLines w:val="0"/>
        <w:pageBreakBefore w:val="0"/>
        <w:widowControl w:val="0"/>
        <w:kinsoku/>
        <w:wordWrap/>
        <w:overflowPunct/>
        <w:topLinePunct w:val="0"/>
        <w:autoSpaceDE/>
        <w:autoSpaceDN/>
        <w:bidi w:val="0"/>
        <w:adjustRightInd/>
        <w:snapToGrid/>
        <w:spacing w:line="180" w:lineRule="exact"/>
        <w:textAlignment w:val="auto"/>
        <w:rPr>
          <w:sz w:val="18"/>
          <w:szCs w:val="18"/>
        </w:rPr>
      </w:pPr>
      <w:r>
        <w:rPr>
          <w:sz w:val="18"/>
          <w:szCs w:val="18"/>
        </w:rPr>
        <w:t>2.1本评价指标适用于申报中华老字号示范创建的企业。</w:t>
      </w:r>
    </w:p>
    <w:p>
      <w:pPr>
        <w:keepNext w:val="0"/>
        <w:keepLines w:val="0"/>
        <w:pageBreakBefore w:val="0"/>
        <w:widowControl w:val="0"/>
        <w:kinsoku/>
        <w:wordWrap/>
        <w:overflowPunct/>
        <w:topLinePunct w:val="0"/>
        <w:autoSpaceDE/>
        <w:autoSpaceDN/>
        <w:bidi w:val="0"/>
        <w:adjustRightInd/>
        <w:snapToGrid/>
        <w:spacing w:line="180" w:lineRule="exact"/>
        <w:textAlignment w:val="auto"/>
        <w:rPr>
          <w:sz w:val="18"/>
          <w:szCs w:val="18"/>
        </w:rPr>
      </w:pPr>
      <w:r>
        <w:rPr>
          <w:sz w:val="18"/>
          <w:szCs w:val="18"/>
        </w:rPr>
        <w:t>2.2本评价指标从历史文化深厚、经营管理规范、创新发展能力突出三个方面开展评价，总分100分。</w:t>
      </w:r>
    </w:p>
    <w:p>
      <w:pPr>
        <w:keepNext w:val="0"/>
        <w:keepLines w:val="0"/>
        <w:pageBreakBefore w:val="0"/>
        <w:widowControl w:val="0"/>
        <w:kinsoku/>
        <w:wordWrap/>
        <w:overflowPunct/>
        <w:topLinePunct w:val="0"/>
        <w:autoSpaceDE/>
        <w:autoSpaceDN/>
        <w:bidi w:val="0"/>
        <w:adjustRightInd/>
        <w:snapToGrid/>
        <w:spacing w:line="180" w:lineRule="exact"/>
        <w:textAlignment w:val="auto"/>
        <w:rPr>
          <w:sz w:val="18"/>
          <w:szCs w:val="18"/>
        </w:rPr>
      </w:pPr>
      <w:r>
        <w:rPr>
          <w:sz w:val="18"/>
          <w:szCs w:val="18"/>
        </w:rPr>
        <w:t>2.3对于近3年发生过重大安全责任事故、重大侵犯知识产权或消费者权益事件，或被相关部门列入严重违法失信名单的不予赋分。</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宋体"/>
          <w:sz w:val="18"/>
          <w:szCs w:val="18"/>
          <w:lang w:eastAsia="zh-CN"/>
        </w:rPr>
        <w:sectPr>
          <w:headerReference r:id="rId11" w:type="default"/>
          <w:footerReference r:id="rId12" w:type="default"/>
          <w:pgSz w:w="16821" w:h="11900" w:orient="landscape"/>
          <w:pgMar w:top="1361" w:right="1474" w:bottom="1361" w:left="1474" w:header="0" w:footer="0" w:gutter="0"/>
          <w:pgBorders>
            <w:top w:val="none" w:sz="0" w:space="0"/>
            <w:left w:val="none" w:sz="0" w:space="0"/>
            <w:bottom w:val="none" w:sz="0" w:space="0"/>
            <w:right w:val="none" w:sz="0" w:space="0"/>
          </w:pgBorders>
          <w:pgNumType w:fmt="numberInDash"/>
          <w:cols w:space="720" w:num="1"/>
          <w:rtlGutter w:val="0"/>
          <w:docGrid w:linePitch="1" w:charSpace="0"/>
        </w:sectPr>
      </w:pPr>
      <w:r>
        <w:rPr>
          <w:sz w:val="18"/>
          <w:szCs w:val="18"/>
        </w:rPr>
        <w:t>2.4本评价指标根据发展需要适时修订</w:t>
      </w:r>
      <w:r>
        <w:rPr>
          <w:rFonts w:hint="eastAsia"/>
          <w:sz w:val="18"/>
          <w:szCs w:val="18"/>
          <w:lang w:eastAsia="zh-CN"/>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-285750</wp:posOffset>
              </wp:positionH>
              <wp:positionV relativeFrom="paragraph">
                <wp:posOffset>-805815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eaVert" wrap="none" lIns="0" tIns="0" rIns="0" bIns="0" upright="0">
                      <a:spAutoFit/>
                    </wps:bodyPr>
                  </wps:wsp>
                </a:graphicData>
              </a:graphic>
            </wp:anchor>
          </w:drawing>
        </mc:Choice>
        <mc:Fallback>
          <w:pict>
            <v:shape id="_x0000_s1026" o:spid="_x0000_s1026" o:spt="202" type="#_x0000_t202" style="position:absolute;left:0pt;margin-left:-22.5pt;margin-top:-63.45pt;height:144pt;width:144pt;mso-position-horizontal-relative:margin;mso-wrap-style:none;z-index:251659264;mso-width-relative:page;mso-height-relative:page;" filled="f" stroked="f" coordsize="21600,21600" o:gfxdata="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8sHQ/aAAAADAEAAA8AAAAAAAAAAQAgAAAAIgAAAGRycy9kb3ducmV2Lnht&#10;bFBLAQIUABQAAAAIAIdO4kAjVEDZvgEAAGMDAAAOAAAAAAAAAAEAIAAAACkBAABkcnMvZTJvRG9j&#10;LnhtbFBLBQYAAAAABgAGAFkBAABZBQAAAAA=&#10;">
              <v:path/>
              <v:fill on="f" focussize="0,0"/>
              <v:stroke on="f" weight="1.25pt"/>
              <v:imagedata o:title=""/>
              <o:lock v:ext="edit" aspectratio="f"/>
              <v:textbox inset="0mm,0mm,0mm,0mm" style="layout-flow:vertical-ideographic;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-285750</wp:posOffset>
              </wp:positionH>
              <wp:positionV relativeFrom="paragraph">
                <wp:posOffset>-805815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eaVert" wrap="none" lIns="0" tIns="0" rIns="0" bIns="0" upright="0">
                      <a:spAutoFit/>
                    </wps:bodyPr>
                  </wps:wsp>
                </a:graphicData>
              </a:graphic>
            </wp:anchor>
          </w:drawing>
        </mc:Choice>
        <mc:Fallback>
          <w:pict>
            <v:shape id="_x0000_s1026" o:spid="_x0000_s1026" o:spt="202" type="#_x0000_t202" style="position:absolute;left:0pt;margin-left:-22.5pt;margin-top:-63.45pt;height:144pt;width:144pt;mso-position-horizontal-relative:margin;mso-wrap-style:none;z-index:251660288;mso-width-relative:page;mso-height-relative:page;" filled="f" stroked="f" coordsize="21600,21600" o:gfxdata="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LB0P2gAAAAwBAAAPAAAAAAAAAAEAIAAAACIAAABkcnMvZG93bnJldi54&#10;bWxQSwECFAAUAAAACACHTuJACKvqZ78BAABjAwAADgAAAAAAAAABACAAAAApAQAAZHJzL2Uyb0Rv&#10;Yy54bWxQSwUGAAAAAAYABgBZAQAAWgUAAAAA&#10;">
              <v:path/>
              <v:fill on="f" focussize="0,0"/>
              <v:stroke on="f" weight="1.25pt"/>
              <v:imagedata o:title=""/>
              <o:lock v:ext="edit" aspectratio="f"/>
              <v:textbox inset="0mm,0mm,0mm,0mm" style="layout-flow:vertical-ideographic;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posOffset>-285750</wp:posOffset>
              </wp:positionH>
              <wp:positionV relativeFrom="paragraph">
                <wp:posOffset>-805815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eaVert" wrap="none" lIns="0" tIns="0" rIns="0" bIns="0" upright="0">
                      <a:spAutoFit/>
                    </wps:bodyPr>
                  </wps:wsp>
                </a:graphicData>
              </a:graphic>
            </wp:anchor>
          </w:drawing>
        </mc:Choice>
        <mc:Fallback>
          <w:pict>
            <v:shape id="_x0000_s1026" o:spid="_x0000_s1026" o:spt="202" type="#_x0000_t202" style="position:absolute;left:0pt;margin-left:-22.5pt;margin-top:-63.45pt;height:144pt;width:144pt;mso-position-horizontal-relative:margin;mso-wrap-style:none;z-index:251663360;mso-width-relative:page;mso-height-relative:page;" filled="f" stroked="f" coordsize="21600,21600" o:gfxdata="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ywdD9oAAAAMAQAADwAAAAAAAAABACAAAAAiAAAAZHJzL2Rvd25yZXYu&#10;eG1sUEsBAhQAFAAAAAgAh07iQHCl9lbAAQAAYwMAAA4AAAAAAAAAAQAgAAAAKQEAAGRycy9lMm9E&#10;b2MueG1sUEsFBgAAAAAGAAYAWQEAAFsFAAAAAA==&#10;">
              <v:path/>
              <v:fill on="f" focussize="0,0"/>
              <v:stroke on="f" weight="1.25pt"/>
              <v:imagedata o:title=""/>
              <o:lock v:ext="edit" aspectratio="f"/>
              <v:textbox inset="0mm,0mm,0mm,0mm" style="layout-flow:vertical-ideographic;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sz w:val="18"/>
      </w:rPr>
      <mc:AlternateContent>
        <mc:Choice Requires="wps">
          <w:drawing>
            <wp:anchor distT="0" distB="0" distL="114300" distR="114300" simplePos="0" relativeHeight="251661312" behindDoc="0" locked="0" layoutInCell="1" allowOverlap="1">
              <wp:simplePos x="0" y="0"/>
              <wp:positionH relativeFrom="margin">
                <wp:posOffset>-292735</wp:posOffset>
              </wp:positionH>
              <wp:positionV relativeFrom="paragraph">
                <wp:posOffset>366395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Bdr>
                              <w:top w:val="none" w:color="auto" w:sz="0" w:space="0"/>
                              <w:left w:val="none" w:color="auto" w:sz="0" w:space="0"/>
                              <w:bottom w:val="none" w:color="auto" w:sz="0" w:space="1"/>
                              <w:right w:val="none" w:color="auto" w:sz="0" w:space="0"/>
                              <w:between w:val="none" w:color="auto" w:sz="0" w:space="0"/>
                            </w:pBd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wps:txbx>
                    <wps:bodyPr vert="eaVert" wrap="none" lIns="0" tIns="0" rIns="0" bIns="0" upright="0">
                      <a:spAutoFit/>
                    </wps:bodyPr>
                  </wps:wsp>
                </a:graphicData>
              </a:graphic>
            </wp:anchor>
          </w:drawing>
        </mc:Choice>
        <mc:Fallback>
          <w:pict>
            <v:shape id="_x0000_s1026" o:spid="_x0000_s1026" o:spt="202" type="#_x0000_t202" style="position:absolute;left:0pt;margin-left:-23.05pt;margin-top:28.85pt;height:144pt;width:144pt;mso-position-horizontal-relative:margin;mso-wrap-style:none;z-index:251661312;mso-width-relative:page;mso-height-relative:page;" filled="f" stroked="f" coordsize="21600,21600" o:gfxdata="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a+cgTZAAAACgEAAA8AAAAAAAAAAQAgAAAAIgAAAGRycy9kb3ducmV2Lnht&#10;bFBLAQIUABQAAAAIAIdO4kBbWlzovwEAAGMDAAAOAAAAAAAAAAEAIAAAACgBAABkcnMvZTJvRG9j&#10;LnhtbFBLBQYAAAAABgAGAFkBAABZBQAAAAA=&#10;">
              <v:path/>
              <v:fill on="f" focussize="0,0"/>
              <v:stroke on="f" weight="1.25pt"/>
              <v:imagedata o:title=""/>
              <o:lock v:ext="edit" aspectratio="f"/>
              <v:textbox inset="0mm,0mm,0mm,0mm" style="layout-flow:vertical-ideographic;mso-fit-shape-to-text:t;">
                <w:txbxContent>
                  <w:p>
                    <w:pPr>
                      <w:pStyle w:val="5"/>
                      <w:pBdr>
                        <w:top w:val="none" w:color="auto" w:sz="0" w:space="0"/>
                        <w:left w:val="none" w:color="auto" w:sz="0" w:space="0"/>
                        <w:bottom w:val="none" w:color="auto" w:sz="0" w:space="1"/>
                        <w:right w:val="none" w:color="auto" w:sz="0" w:space="0"/>
                        <w:between w:val="none" w:color="auto" w:sz="0" w:space="0"/>
                      </w:pBd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sz w:val="18"/>
      </w:rPr>
      <mc:AlternateContent>
        <mc:Choice Requires="wps">
          <w:drawing>
            <wp:anchor distT="0" distB="0" distL="114300" distR="114300" simplePos="0" relativeHeight="251662336" behindDoc="0" locked="0" layoutInCell="1" allowOverlap="1">
              <wp:simplePos x="0" y="0"/>
              <wp:positionH relativeFrom="margin">
                <wp:posOffset>-292735</wp:posOffset>
              </wp:positionH>
              <wp:positionV relativeFrom="paragraph">
                <wp:posOffset>366395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Bdr>
                              <w:top w:val="none" w:color="auto" w:sz="0" w:space="0"/>
                              <w:left w:val="none" w:color="auto" w:sz="0" w:space="0"/>
                              <w:bottom w:val="none" w:color="auto" w:sz="0" w:space="1"/>
                              <w:right w:val="none" w:color="auto" w:sz="0" w:space="0"/>
                              <w:between w:val="none" w:color="auto" w:sz="0" w:space="0"/>
                            </w:pBd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wps:txbx>
                    <wps:bodyPr vert="eaVert" wrap="none" lIns="0" tIns="0" rIns="0" bIns="0" upright="0">
                      <a:spAutoFit/>
                    </wps:bodyPr>
                  </wps:wsp>
                </a:graphicData>
              </a:graphic>
            </wp:anchor>
          </w:drawing>
        </mc:Choice>
        <mc:Fallback>
          <w:pict>
            <v:shape id="_x0000_s1026" o:spid="_x0000_s1026" o:spt="202" type="#_x0000_t202" style="position:absolute;left:0pt;margin-left:-23.05pt;margin-top:28.85pt;height:144pt;width:144pt;mso-position-horizontal-relative:margin;mso-wrap-style:none;z-index:251662336;mso-width-relative:page;mso-height-relative:page;" filled="f" stroked="f" coordsize="21600,21600" o:gfxdata="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GvnIE2QAAAAoBAAAPAAAAAAAAAAEAIAAAACIAAABkcnMvZG93bnJldi54&#10;bWxQSwECFAAUAAAACACHTuJATKJ4TsABAABjAwAADgAAAAAAAAABACAAAAAoAQAAZHJzL2Uyb0Rv&#10;Yy54bWxQSwUGAAAAAAYABgBZAQAAWgUAAAAA&#10;">
              <v:path/>
              <v:fill on="f" focussize="0,0"/>
              <v:stroke on="f" weight="1.25pt"/>
              <v:imagedata o:title=""/>
              <o:lock v:ext="edit" aspectratio="f"/>
              <v:textbox inset="0mm,0mm,0mm,0mm" style="layout-flow:vertical-ideographic;mso-fit-shape-to-text:t;">
                <w:txbxContent>
                  <w:p>
                    <w:pPr>
                      <w:pStyle w:val="5"/>
                      <w:pBdr>
                        <w:top w:val="none" w:color="auto" w:sz="0" w:space="0"/>
                        <w:left w:val="none" w:color="auto" w:sz="0" w:space="0"/>
                        <w:bottom w:val="none" w:color="auto" w:sz="0" w:space="1"/>
                        <w:right w:val="none" w:color="auto" w:sz="0" w:space="0"/>
                        <w:between w:val="none" w:color="auto" w:sz="0" w:space="0"/>
                      </w:pBd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84706"/>
    <w:rsid w:val="7DB8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rFonts w:eastAsia="仿宋_GB2312"/>
      <w:sz w:val="36"/>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2023-04-23T01:33:00Z</dcterms:created>
  <dc:creator>杨晨</dc:creator>
  <cp:lastModifiedBy>杨晨</cp:lastModifiedBy>
  <dcterms:modified xsi:type="dcterms:W3CDTF">2023-04-23T01:36:04Z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